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DA" w:rsidRDefault="00667E75" w:rsidP="00C14BF3">
      <w:pPr>
        <w:jc w:val="center"/>
      </w:pPr>
      <w:bookmarkStart w:id="0" w:name="_GoBack"/>
      <w:bookmarkEnd w:id="0"/>
      <w:r>
        <w:t xml:space="preserve">Конкурс </w:t>
      </w:r>
      <w:r>
        <w:rPr>
          <w:lang w:val="kk-KZ"/>
        </w:rPr>
        <w:t xml:space="preserve">туралы хабарландыру </w:t>
      </w:r>
      <w:r>
        <w:t xml:space="preserve"> </w:t>
      </w:r>
    </w:p>
    <w:p w:rsidR="00F04467" w:rsidRPr="00667E75" w:rsidRDefault="00667E75" w:rsidP="00667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7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667E75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66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E75">
        <w:rPr>
          <w:rFonts w:ascii="Times New Roman" w:hAnsi="Times New Roman" w:cs="Times New Roman"/>
          <w:sz w:val="28"/>
          <w:szCs w:val="28"/>
        </w:rPr>
        <w:t>Ұйымдаситырушысы</w:t>
      </w:r>
      <w:proofErr w:type="spellEnd"/>
      <w:r w:rsidRPr="00667E75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67E75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66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E7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="00F931DA" w:rsidRPr="00667E75">
        <w:rPr>
          <w:rFonts w:ascii="Times New Roman" w:hAnsi="Times New Roman" w:cs="Times New Roman"/>
          <w:sz w:val="28"/>
          <w:szCs w:val="28"/>
        </w:rPr>
        <w:t xml:space="preserve">): </w:t>
      </w:r>
      <w:r w:rsidRPr="00667E75">
        <w:rPr>
          <w:rFonts w:ascii="Times New Roman" w:hAnsi="Times New Roman" w:cs="Times New Roman"/>
          <w:sz w:val="28"/>
          <w:szCs w:val="28"/>
          <w:lang w:val="kk-KZ"/>
        </w:rPr>
        <w:t>Ақмола облысы, «Атбасар ауданының білім бөлімі»  мемлекеттік мекемесі</w:t>
      </w:r>
      <w:r w:rsidRPr="00667E75">
        <w:rPr>
          <w:rFonts w:ascii="Times New Roman" w:hAnsi="Times New Roman" w:cs="Times New Roman"/>
          <w:sz w:val="28"/>
          <w:szCs w:val="28"/>
        </w:rPr>
        <w:t xml:space="preserve">, 020400, </w:t>
      </w:r>
      <w:r w:rsidR="00F931DA" w:rsidRPr="00667E75">
        <w:rPr>
          <w:rFonts w:ascii="Times New Roman" w:hAnsi="Times New Roman" w:cs="Times New Roman"/>
          <w:sz w:val="28"/>
          <w:szCs w:val="28"/>
        </w:rPr>
        <w:t xml:space="preserve"> Атбасар</w:t>
      </w:r>
      <w:r w:rsidRPr="00667E75"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 w:rsidRPr="00667E75">
        <w:rPr>
          <w:rFonts w:ascii="Times New Roman" w:hAnsi="Times New Roman" w:cs="Times New Roman"/>
          <w:sz w:val="28"/>
          <w:szCs w:val="28"/>
        </w:rPr>
        <w:t xml:space="preserve">, Сейфулин </w:t>
      </w:r>
      <w:r w:rsidRPr="00667E75">
        <w:rPr>
          <w:rFonts w:ascii="Times New Roman" w:hAnsi="Times New Roman" w:cs="Times New Roman"/>
          <w:sz w:val="28"/>
          <w:szCs w:val="28"/>
          <w:lang w:val="kk-KZ"/>
        </w:rPr>
        <w:t>к.</w:t>
      </w:r>
      <w:r w:rsidRPr="00667E7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67E75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667E75">
        <w:rPr>
          <w:rFonts w:ascii="Times New Roman" w:hAnsi="Times New Roman" w:cs="Times New Roman"/>
          <w:sz w:val="28"/>
          <w:szCs w:val="28"/>
        </w:rPr>
        <w:t>, БСН 0601400000456, ЖСК KZ640705034640307001, БС</w:t>
      </w:r>
      <w:r w:rsidR="00F931DA" w:rsidRPr="00667E75">
        <w:rPr>
          <w:rFonts w:ascii="Times New Roman" w:hAnsi="Times New Roman" w:cs="Times New Roman"/>
          <w:sz w:val="28"/>
          <w:szCs w:val="28"/>
        </w:rPr>
        <w:t xml:space="preserve">К KKMFKZ2A, </w:t>
      </w:r>
      <w:r w:rsidRPr="00667E75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 Қаржы министрлігінің Қазынашылық Комитеті» РММ</w:t>
      </w:r>
      <w:proofErr w:type="gramStart"/>
      <w:r w:rsidR="00F931DA" w:rsidRPr="00667E7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F931DA" w:rsidRPr="00667E75">
        <w:rPr>
          <w:rFonts w:ascii="Times New Roman" w:hAnsi="Times New Roman" w:cs="Times New Roman"/>
          <w:sz w:val="28"/>
          <w:szCs w:val="28"/>
        </w:rPr>
        <w:t xml:space="preserve">ел. 8 (71643) </w:t>
      </w:r>
      <w:r w:rsidRPr="00667E75">
        <w:rPr>
          <w:rFonts w:ascii="Times New Roman" w:hAnsi="Times New Roman" w:cs="Times New Roman"/>
          <w:sz w:val="28"/>
          <w:szCs w:val="28"/>
        </w:rPr>
        <w:t xml:space="preserve">2-42-72 факс,2-40-09 </w:t>
      </w:r>
      <w:proofErr w:type="spellStart"/>
      <w:r w:rsidRPr="00667E7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67E75">
        <w:rPr>
          <w:rFonts w:ascii="Times New Roman" w:hAnsi="Times New Roman" w:cs="Times New Roman"/>
          <w:sz w:val="28"/>
          <w:szCs w:val="28"/>
        </w:rPr>
        <w:t xml:space="preserve"> </w:t>
      </w:r>
      <w:r w:rsidR="00F931DA" w:rsidRPr="00667E75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667E7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931DA" w:rsidRPr="00667E75">
        <w:rPr>
          <w:rFonts w:ascii="Times New Roman" w:hAnsi="Times New Roman" w:cs="Times New Roman"/>
          <w:sz w:val="28"/>
          <w:szCs w:val="28"/>
        </w:rPr>
        <w:t xml:space="preserve">: atbroogz@mail.ru, сайт: </w:t>
      </w:r>
      <w:r w:rsidRPr="00667E75">
        <w:rPr>
          <w:rFonts w:ascii="Times New Roman" w:hAnsi="Times New Roman" w:cs="Times New Roman"/>
          <w:sz w:val="28"/>
          <w:szCs w:val="28"/>
        </w:rPr>
        <w:t xml:space="preserve">www.atbasar.akmoedu.kz </w:t>
      </w:r>
      <w:r w:rsidRPr="00667E75">
        <w:rPr>
          <w:rFonts w:ascii="Times New Roman" w:hAnsi="Times New Roman" w:cs="Times New Roman"/>
          <w:sz w:val="28"/>
          <w:szCs w:val="28"/>
          <w:lang w:val="kk-KZ"/>
        </w:rPr>
        <w:t>, Атбасар қ. м</w:t>
      </w:r>
      <w:r w:rsidRPr="00B92D3C">
        <w:rPr>
          <w:rFonts w:ascii="Times New Roman" w:hAnsi="Times New Roman" w:cs="Times New Roman"/>
          <w:sz w:val="28"/>
          <w:szCs w:val="28"/>
          <w:lang w:val="kk-KZ"/>
        </w:rPr>
        <w:t>ектепке дейінгі тәрибелеу және оқыту бойынша мемлекеттік қызмет көрсетуге жабдықтаушылар тағайындау бойынша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жариялайды. </w:t>
      </w:r>
      <w:r w:rsidR="00F931DA">
        <w:t>.</w:t>
      </w:r>
    </w:p>
    <w:p w:rsidR="003237B5" w:rsidRDefault="00AE1325" w:rsidP="00AE1325">
      <w:proofErr w:type="spellStart"/>
      <w:proofErr w:type="gramStart"/>
      <w:r w:rsidRPr="00AE1325">
        <w:t>К</w:t>
      </w:r>
      <w:r w:rsidR="00667E75">
        <w:t>онкурс</w:t>
      </w:r>
      <w:proofErr w:type="gramEnd"/>
      <w:r w:rsidR="00667E75">
        <w:t>қа</w:t>
      </w:r>
      <w:proofErr w:type="spellEnd"/>
      <w:r w:rsidR="00667E75">
        <w:rPr>
          <w:lang w:val="kk-KZ"/>
        </w:rPr>
        <w:t xml:space="preserve">  </w:t>
      </w:r>
      <w:proofErr w:type="spellStart"/>
      <w:r w:rsidR="00667E75">
        <w:t>өз</w:t>
      </w:r>
      <w:proofErr w:type="spellEnd"/>
      <w:r w:rsidR="00667E75">
        <w:t xml:space="preserve"> </w:t>
      </w:r>
      <w:proofErr w:type="spellStart"/>
      <w:r w:rsidR="00667E75">
        <w:t>қызметінің</w:t>
      </w:r>
      <w:proofErr w:type="spellEnd"/>
      <w:r w:rsidR="00667E75">
        <w:t xml:space="preserve"> </w:t>
      </w:r>
      <w:proofErr w:type="spellStart"/>
      <w:r w:rsidR="00667E75">
        <w:t>басталуы</w:t>
      </w:r>
      <w:proofErr w:type="spellEnd"/>
      <w:r w:rsidR="00667E75">
        <w:t xml:space="preserve"> </w:t>
      </w:r>
      <w:proofErr w:type="spellStart"/>
      <w:r w:rsidR="00667E75">
        <w:t>туралы</w:t>
      </w:r>
      <w:proofErr w:type="spellEnd"/>
      <w:r w:rsidR="00667E75">
        <w:t xml:space="preserve"> </w:t>
      </w:r>
      <w:r w:rsidR="00667E75" w:rsidRPr="00AE1325">
        <w:t xml:space="preserve"> </w:t>
      </w:r>
      <w:r w:rsidR="00667E75">
        <w:rPr>
          <w:lang w:val="kk-KZ"/>
        </w:rPr>
        <w:t xml:space="preserve">білім беру саласындағы </w:t>
      </w:r>
      <w:r w:rsidR="00667E75">
        <w:t xml:space="preserve"> </w:t>
      </w:r>
      <w:proofErr w:type="spellStart"/>
      <w:r w:rsidR="00667E75">
        <w:t>уәкілетті</w:t>
      </w:r>
      <w:proofErr w:type="spellEnd"/>
      <w:r w:rsidR="00667E75">
        <w:t xml:space="preserve"> </w:t>
      </w:r>
      <w:proofErr w:type="spellStart"/>
      <w:r w:rsidR="00667E75">
        <w:t>органдарды</w:t>
      </w:r>
      <w:proofErr w:type="spellEnd"/>
      <w:r w:rsidR="00667E75">
        <w:t xml:space="preserve"> </w:t>
      </w:r>
      <w:proofErr w:type="spellStart"/>
      <w:r w:rsidR="00667E75">
        <w:t>ескерткен</w:t>
      </w:r>
      <w:proofErr w:type="spellEnd"/>
      <w:r w:rsidR="00667E75">
        <w:t xml:space="preserve"> </w:t>
      </w:r>
      <w:proofErr w:type="spellStart"/>
      <w:r w:rsidR="00667E75">
        <w:t>және</w:t>
      </w:r>
      <w:proofErr w:type="spellEnd"/>
      <w:r w:rsidR="00667E75">
        <w:t xml:space="preserve"> </w:t>
      </w:r>
      <w:proofErr w:type="spellStart"/>
      <w:r w:rsidR="00667E75">
        <w:t>мемлекеттік</w:t>
      </w:r>
      <w:proofErr w:type="spellEnd"/>
      <w:r w:rsidR="00667E75">
        <w:t xml:space="preserve"> </w:t>
      </w:r>
      <w:proofErr w:type="spellStart"/>
      <w:r w:rsidR="00667E75">
        <w:t>тапсырыс</w:t>
      </w:r>
      <w:proofErr w:type="spellEnd"/>
      <w:r w:rsidR="00667E75">
        <w:t xml:space="preserve"> </w:t>
      </w:r>
      <w:proofErr w:type="spellStart"/>
      <w:r w:rsidR="00667E75">
        <w:t>алуға</w:t>
      </w:r>
      <w:proofErr w:type="spellEnd"/>
      <w:r w:rsidR="00667E75">
        <w:t xml:space="preserve"> </w:t>
      </w:r>
      <w:proofErr w:type="spellStart"/>
      <w:r w:rsidR="00667E75">
        <w:t>өтінім</w:t>
      </w:r>
      <w:proofErr w:type="spellEnd"/>
      <w:r w:rsidR="00667E75">
        <w:t xml:space="preserve"> </w:t>
      </w:r>
      <w:proofErr w:type="spellStart"/>
      <w:r w:rsidR="00667E75">
        <w:t>берген</w:t>
      </w:r>
      <w:proofErr w:type="spellEnd"/>
      <w:r w:rsidR="00667E75">
        <w:t xml:space="preserve"> </w:t>
      </w:r>
      <w:proofErr w:type="spellStart"/>
      <w:r w:rsidR="00667E75">
        <w:t>барлық</w:t>
      </w:r>
      <w:proofErr w:type="spellEnd"/>
      <w:r w:rsidR="00667E75">
        <w:t xml:space="preserve"> </w:t>
      </w:r>
      <w:proofErr w:type="spellStart"/>
      <w:r w:rsidR="00667E75">
        <w:t>әлеуетті</w:t>
      </w:r>
      <w:proofErr w:type="spellEnd"/>
      <w:r w:rsidR="00667E75">
        <w:t xml:space="preserve"> </w:t>
      </w:r>
      <w:proofErr w:type="spellStart"/>
      <w:r w:rsidR="00667E75">
        <w:t>жаблдықтаушылар</w:t>
      </w:r>
      <w:proofErr w:type="spellEnd"/>
      <w:r w:rsidR="00667E75">
        <w:t xml:space="preserve"> </w:t>
      </w:r>
      <w:proofErr w:type="spellStart"/>
      <w:r w:rsidR="00667E75">
        <w:t>жіберіледі</w:t>
      </w:r>
      <w:proofErr w:type="spellEnd"/>
      <w:r w:rsidR="00667E75">
        <w:t>.</w:t>
      </w:r>
    </w:p>
    <w:tbl>
      <w:tblPr>
        <w:tblW w:w="11132" w:type="dxa"/>
        <w:tblInd w:w="-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518"/>
        <w:gridCol w:w="1195"/>
        <w:gridCol w:w="1727"/>
        <w:gridCol w:w="1576"/>
        <w:gridCol w:w="2529"/>
        <w:gridCol w:w="1276"/>
      </w:tblGrid>
      <w:tr w:rsidR="003237B5" w:rsidRPr="003237B5" w:rsidTr="00B572D0">
        <w:trPr>
          <w:trHeight w:val="128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3237B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№</w:t>
            </w:r>
          </w:p>
        </w:tc>
        <w:tc>
          <w:tcPr>
            <w:tcW w:w="2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667E7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Конкурс </w:t>
            </w: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ұйымлдастырушысының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атауы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</w:t>
            </w:r>
          </w:p>
        </w:tc>
        <w:tc>
          <w:tcPr>
            <w:tcW w:w="11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667E75" w:rsidP="00667E7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>
              <w:rPr>
                <w:rFonts w:eastAsia="Calibri"/>
                <w:b/>
                <w:sz w:val="16"/>
                <w:szCs w:val="18"/>
                <w:lang w:val="kk-KZ" w:eastAsia="ru-RU"/>
              </w:rPr>
              <w:t xml:space="preserve">Мектеке дейінгі ұйымдарға барушы балалар саны 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667E75" w:rsidP="00667E7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>
              <w:rPr>
                <w:rFonts w:eastAsia="Calibri"/>
                <w:b/>
                <w:sz w:val="16"/>
                <w:szCs w:val="18"/>
                <w:lang w:val="kk-KZ" w:eastAsia="ru-RU"/>
              </w:rPr>
              <w:t xml:space="preserve">Мемлекеттік тапсырыс берушімен </w:t>
            </w: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жанбасына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қаржыландыру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667E75" w:rsidRDefault="00667E7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val="kk-KZ" w:eastAsia="ru-RU"/>
              </w:rPr>
            </w:pPr>
            <w:r>
              <w:rPr>
                <w:rFonts w:eastAsia="Calibri"/>
                <w:b/>
                <w:sz w:val="16"/>
                <w:szCs w:val="18"/>
                <w:lang w:val="kk-KZ" w:eastAsia="ru-RU"/>
              </w:rPr>
              <w:t>Мемлекетік қызмет көрсету мерзімі</w:t>
            </w:r>
          </w:p>
        </w:tc>
        <w:tc>
          <w:tcPr>
            <w:tcW w:w="2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Default="00667E7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val="kk-KZ" w:eastAsia="ru-RU"/>
              </w:rPr>
            </w:pPr>
            <w:r>
              <w:rPr>
                <w:rFonts w:eastAsia="Calibri"/>
                <w:b/>
                <w:sz w:val="16"/>
                <w:szCs w:val="18"/>
                <w:lang w:val="kk-KZ" w:eastAsia="ru-RU"/>
              </w:rPr>
              <w:t xml:space="preserve">Қызмет көрсету орны </w:t>
            </w:r>
          </w:p>
          <w:p w:rsidR="003237B5" w:rsidRPr="003237B5" w:rsidRDefault="003237B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BB71DD" w:rsidP="00BB71DD">
            <w:pPr>
              <w:spacing w:after="0" w:line="240" w:lineRule="auto"/>
              <w:rPr>
                <w:rFonts w:eastAsia="Calibri"/>
                <w:b/>
                <w:sz w:val="16"/>
                <w:szCs w:val="18"/>
                <w:lang w:eastAsia="ru-RU"/>
              </w:rPr>
            </w:pPr>
            <w:r>
              <w:rPr>
                <w:rFonts w:eastAsia="Calibri"/>
                <w:b/>
                <w:sz w:val="16"/>
                <w:szCs w:val="18"/>
                <w:lang w:val="kk-KZ" w:eastAsia="ru-RU"/>
              </w:rPr>
              <w:t>Б</w:t>
            </w: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юджеттік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қаражат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есебінен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бөлінген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сома, </w:t>
            </w: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теңге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 </w:t>
            </w:r>
          </w:p>
        </w:tc>
      </w:tr>
      <w:tr w:rsidR="003237B5" w:rsidRPr="003237B5" w:rsidTr="00B572D0">
        <w:trPr>
          <w:trHeight w:val="24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3237B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3237B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3237B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3237B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3237B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3237B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7B5" w:rsidRPr="003237B5" w:rsidRDefault="003237B5" w:rsidP="003237B5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7</w:t>
            </w:r>
          </w:p>
        </w:tc>
      </w:tr>
      <w:tr w:rsidR="003237B5" w:rsidRPr="003237B5" w:rsidTr="00B572D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37B5" w:rsidRPr="003237B5" w:rsidRDefault="003237B5" w:rsidP="003237B5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 w:rsidRPr="003237B5"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37B5" w:rsidRPr="00BB71DD" w:rsidRDefault="00BB71DD" w:rsidP="003237B5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val="kk-KZ" w:eastAsia="ru-RU"/>
              </w:rPr>
            </w:pPr>
            <w:r>
              <w:rPr>
                <w:rFonts w:eastAsia="Times New Roman"/>
                <w:color w:val="000000"/>
                <w:spacing w:val="2"/>
                <w:sz w:val="16"/>
                <w:szCs w:val="18"/>
                <w:lang w:val="kk-KZ" w:eastAsia="ru-RU"/>
              </w:rPr>
              <w:t xml:space="preserve">«Атбасар ауданының білім бөлімі» ММ </w:t>
            </w:r>
          </w:p>
        </w:tc>
        <w:tc>
          <w:tcPr>
            <w:tcW w:w="11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37B5" w:rsidRPr="003237B5" w:rsidRDefault="003237B5" w:rsidP="003237B5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  <w:t>20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37B5" w:rsidRPr="003237B5" w:rsidRDefault="003237B5" w:rsidP="003237B5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  <w:t>21591-00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37B5" w:rsidRPr="003237B5" w:rsidRDefault="003237B5" w:rsidP="003237B5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>
              <w:rPr>
                <w:rFonts w:eastAsia="Calibri"/>
                <w:sz w:val="16"/>
                <w:szCs w:val="18"/>
                <w:lang w:val="kk-KZ"/>
              </w:rPr>
              <w:t>1.11</w:t>
            </w:r>
            <w:r w:rsidR="00BB71DD">
              <w:rPr>
                <w:rFonts w:eastAsia="Calibri"/>
                <w:sz w:val="16"/>
                <w:szCs w:val="18"/>
              </w:rPr>
              <w:t>.2019г. -</w:t>
            </w:r>
            <w:r w:rsidRPr="003237B5">
              <w:rPr>
                <w:rFonts w:eastAsia="Calibri"/>
                <w:sz w:val="16"/>
                <w:szCs w:val="18"/>
              </w:rPr>
              <w:t xml:space="preserve"> </w:t>
            </w:r>
            <w:r>
              <w:rPr>
                <w:rFonts w:eastAsia="Calibri"/>
                <w:sz w:val="16"/>
                <w:szCs w:val="18"/>
              </w:rPr>
              <w:t>31.12</w:t>
            </w:r>
            <w:r w:rsidRPr="003237B5">
              <w:rPr>
                <w:rFonts w:eastAsia="Calibri"/>
                <w:sz w:val="16"/>
                <w:szCs w:val="18"/>
              </w:rPr>
              <w:t>.2019г</w:t>
            </w:r>
          </w:p>
        </w:tc>
        <w:tc>
          <w:tcPr>
            <w:tcW w:w="2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37B5" w:rsidRPr="00BB71DD" w:rsidRDefault="003237B5" w:rsidP="003237B5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val="kk-KZ" w:eastAsia="ru-RU"/>
              </w:rPr>
            </w:pPr>
            <w:r>
              <w:rPr>
                <w:rFonts w:eastAsia="Calibri"/>
                <w:sz w:val="16"/>
                <w:szCs w:val="18"/>
              </w:rPr>
              <w:t>Атбасар</w:t>
            </w:r>
            <w:r w:rsidR="00BB71DD">
              <w:rPr>
                <w:rFonts w:eastAsia="Calibri"/>
                <w:sz w:val="16"/>
                <w:szCs w:val="18"/>
                <w:lang w:val="kk-KZ"/>
              </w:rPr>
              <w:t xml:space="preserve"> қ.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37B5" w:rsidRPr="003237B5" w:rsidRDefault="00C14BF3" w:rsidP="003237B5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  <w:t>862640-00</w:t>
            </w:r>
          </w:p>
        </w:tc>
      </w:tr>
    </w:tbl>
    <w:p w:rsidR="003237B5" w:rsidRDefault="003237B5" w:rsidP="00AE1325"/>
    <w:p w:rsidR="00AE1325" w:rsidRDefault="00BB71DD" w:rsidP="00AE1325">
      <w:r>
        <w:rPr>
          <w:lang w:val="kk-KZ"/>
        </w:rPr>
        <w:t>К</w:t>
      </w:r>
      <w:proofErr w:type="spellStart"/>
      <w:r>
        <w:t>онкурсқа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меншікті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ұйымдар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ұсынады</w:t>
      </w:r>
      <w:proofErr w:type="spellEnd"/>
      <w:r w:rsidR="00AE1325">
        <w:t>:</w:t>
      </w:r>
    </w:p>
    <w:p w:rsidR="00AE1325" w:rsidRDefault="00BB71DD" w:rsidP="00AE1325">
      <w:r>
        <w:t xml:space="preserve">      1) осы </w:t>
      </w:r>
      <w:proofErr w:type="spellStart"/>
      <w:r>
        <w:t>ережелердің</w:t>
      </w:r>
      <w:proofErr w:type="spellEnd"/>
      <w:r>
        <w:t xml:space="preserve"> 1 </w:t>
      </w:r>
      <w:proofErr w:type="spellStart"/>
      <w:r>
        <w:t>қосымшасына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rPr>
          <w:lang w:val="kk-KZ"/>
        </w:rPr>
        <w:t xml:space="preserve"> </w:t>
      </w:r>
      <w:proofErr w:type="spellStart"/>
      <w:r>
        <w:t>нысандағы</w:t>
      </w:r>
      <w:proofErr w:type="spellEnd"/>
      <w:r>
        <w:rPr>
          <w:lang w:val="kk-KZ"/>
        </w:rPr>
        <w:t xml:space="preserve">, </w:t>
      </w:r>
      <w:r>
        <w:t xml:space="preserve">комиссия </w:t>
      </w:r>
      <w:proofErr w:type="spellStart"/>
      <w:r>
        <w:t>төрағасының</w:t>
      </w:r>
      <w:proofErr w:type="spellEnd"/>
      <w:r>
        <w:t xml:space="preserve"> </w:t>
      </w:r>
      <w:proofErr w:type="spellStart"/>
      <w:r>
        <w:t>атына</w:t>
      </w:r>
      <w:proofErr w:type="spellEnd"/>
      <w:r>
        <w:t xml:space="preserve"> </w:t>
      </w:r>
      <w:r>
        <w:rPr>
          <w:lang w:val="kk-KZ"/>
        </w:rPr>
        <w:t>жазылған өтініш</w:t>
      </w:r>
      <w:r w:rsidR="00AE1325">
        <w:t>;</w:t>
      </w:r>
    </w:p>
    <w:p w:rsidR="00AE1325" w:rsidRDefault="00AE1325" w:rsidP="00AE1325">
      <w:r>
        <w:t xml:space="preserve">      2) </w:t>
      </w:r>
      <w:r w:rsidR="00BB71DD">
        <w:rPr>
          <w:lang w:val="kk-KZ"/>
        </w:rPr>
        <w:t>заңды тұлғаның немесе жеке кәсіпкердің мемлекеттік тіркеу (қайта тіркеуден) өткені туралы анықтама, мектепке дейінгі ұйым Жарғысы</w:t>
      </w:r>
      <w:r>
        <w:t>,</w:t>
      </w:r>
      <w:r w:rsidR="00BB71DD">
        <w:rPr>
          <w:lang w:val="kk-KZ"/>
        </w:rPr>
        <w:t xml:space="preserve"> банктен берешегі жоқтығы туралы анықтама, салық </w:t>
      </w:r>
      <w:r w:rsidR="00BB71DD">
        <w:t xml:space="preserve">  </w:t>
      </w:r>
      <w:proofErr w:type="spellStart"/>
      <w:r w:rsidR="00BB71DD">
        <w:t>органынан</w:t>
      </w:r>
      <w:proofErr w:type="spellEnd"/>
      <w:r w:rsidR="00BB71DD">
        <w:rPr>
          <w:lang w:val="kk-KZ"/>
        </w:rPr>
        <w:t xml:space="preserve"> құжаттрады тапсырғанға дейінгі  </w:t>
      </w:r>
      <w:r w:rsidR="00BB71DD">
        <w:t xml:space="preserve"> </w:t>
      </w:r>
      <w:proofErr w:type="spellStart"/>
      <w:r w:rsidR="00BB71DD">
        <w:t>бір</w:t>
      </w:r>
      <w:proofErr w:type="spellEnd"/>
      <w:r w:rsidR="00BB71DD">
        <w:t xml:space="preserve"> </w:t>
      </w:r>
      <w:proofErr w:type="spellStart"/>
      <w:r w:rsidR="00BB71DD">
        <w:t>айдан</w:t>
      </w:r>
      <w:proofErr w:type="spellEnd"/>
      <w:r w:rsidR="00BB71DD">
        <w:t xml:space="preserve"> </w:t>
      </w:r>
      <w:proofErr w:type="spellStart"/>
      <w:r w:rsidR="00BB71DD">
        <w:t>аспаған</w:t>
      </w:r>
      <w:proofErr w:type="spellEnd"/>
      <w:r w:rsidR="00BB71DD">
        <w:t xml:space="preserve"> </w:t>
      </w:r>
      <w:proofErr w:type="spellStart"/>
      <w:r w:rsidR="00BB71DD">
        <w:t>мерзім</w:t>
      </w:r>
      <w:proofErr w:type="spellEnd"/>
      <w:r w:rsidR="00BB71DD">
        <w:t xml:space="preserve"> </w:t>
      </w:r>
      <w:proofErr w:type="spellStart"/>
      <w:r w:rsidR="00BB71DD">
        <w:t>ішінде</w:t>
      </w:r>
      <w:proofErr w:type="spellEnd"/>
      <w:r w:rsidR="00BB71DD">
        <w:t xml:space="preserve"> </w:t>
      </w:r>
      <w:proofErr w:type="spellStart"/>
      <w:r w:rsidR="00BB71DD">
        <w:t>берешегі</w:t>
      </w:r>
      <w:proofErr w:type="spellEnd"/>
      <w:r w:rsidR="00BB71DD">
        <w:t xml:space="preserve"> </w:t>
      </w:r>
      <w:proofErr w:type="spellStart"/>
      <w:r w:rsidR="00BB71DD">
        <w:t>жоқтығы</w:t>
      </w:r>
      <w:proofErr w:type="spellEnd"/>
      <w:r w:rsidR="00BB71DD">
        <w:t xml:space="preserve"> </w:t>
      </w:r>
      <w:proofErr w:type="spellStart"/>
      <w:r w:rsidR="00BB71DD">
        <w:t>туралы</w:t>
      </w:r>
      <w:proofErr w:type="spellEnd"/>
      <w:r w:rsidR="00BB71DD">
        <w:t xml:space="preserve"> </w:t>
      </w:r>
      <w:proofErr w:type="spellStart"/>
      <w:r w:rsidR="00BB71DD">
        <w:t>анықтама</w:t>
      </w:r>
      <w:proofErr w:type="spellEnd"/>
      <w:r>
        <w:t>;</w:t>
      </w:r>
    </w:p>
    <w:p w:rsidR="00AE1325" w:rsidRPr="006F5CDD" w:rsidRDefault="0002088B" w:rsidP="006F5CDD">
      <w:pPr>
        <w:rPr>
          <w:rFonts w:eastAsia="Times New Roman"/>
          <w:sz w:val="24"/>
          <w:szCs w:val="24"/>
          <w:lang w:val="kk-KZ" w:eastAsia="ru-RU"/>
        </w:rPr>
      </w:pPr>
      <w:r>
        <w:rPr>
          <w:lang w:val="kk-KZ"/>
        </w:rPr>
        <w:t xml:space="preserve">3) </w:t>
      </w:r>
      <w:r w:rsidR="006F5CDD">
        <w:rPr>
          <w:lang w:val="kk-KZ"/>
        </w:rPr>
        <w:t>М</w:t>
      </w:r>
      <w:r w:rsidR="006F5CDD" w:rsidRPr="006F5CDD">
        <w:rPr>
          <w:lang w:val="kk-KZ"/>
        </w:rPr>
        <w:t>ектепке дейінгі ұйымның</w:t>
      </w:r>
      <w:r w:rsidR="006F5CDD" w:rsidRPr="0002088B">
        <w:rPr>
          <w:b/>
          <w:lang w:val="kk-KZ"/>
        </w:rPr>
        <w:t xml:space="preserve"> </w:t>
      </w:r>
      <w:r w:rsidR="006F5CDD">
        <w:rPr>
          <w:b/>
          <w:lang w:val="kk-KZ"/>
        </w:rPr>
        <w:t xml:space="preserve"> </w:t>
      </w:r>
      <w:r>
        <w:rPr>
          <w:lang w:val="kk-KZ"/>
        </w:rPr>
        <w:t xml:space="preserve">Қазақстан </w:t>
      </w:r>
      <w:r>
        <w:t xml:space="preserve"> </w:t>
      </w:r>
      <w:proofErr w:type="spellStart"/>
      <w:r>
        <w:t>Республикасы</w:t>
      </w:r>
      <w:proofErr w:type="spellEnd"/>
      <w:r w:rsidR="006F5CDD">
        <w:t xml:space="preserve"> </w:t>
      </w:r>
      <w:proofErr w:type="spellStart"/>
      <w:r w:rsidR="006F5CDD">
        <w:t>Денсаулық</w:t>
      </w:r>
      <w:proofErr w:type="spellEnd"/>
      <w:r w:rsidR="006F5CDD">
        <w:t xml:space="preserve"> </w:t>
      </w:r>
      <w:proofErr w:type="spellStart"/>
      <w:r w:rsidR="006F5CDD">
        <w:t>сақтау</w:t>
      </w:r>
      <w:proofErr w:type="spellEnd"/>
      <w:r w:rsidR="006F5CDD">
        <w:t xml:space="preserve"> </w:t>
      </w:r>
      <w:proofErr w:type="spellStart"/>
      <w:r w:rsidR="006F5CDD">
        <w:t>министрі</w:t>
      </w:r>
      <w:proofErr w:type="spellEnd"/>
      <w:r w:rsidR="006F5CDD">
        <w:t xml:space="preserve"> м.</w:t>
      </w:r>
      <w:r w:rsidR="006F5CDD">
        <w:rPr>
          <w:lang w:val="kk-KZ"/>
        </w:rPr>
        <w:t xml:space="preserve">а. </w:t>
      </w:r>
      <w:r>
        <w:t xml:space="preserve">    2017 </w:t>
      </w:r>
      <w:proofErr w:type="spellStart"/>
      <w:r>
        <w:t>жылғы</w:t>
      </w:r>
      <w:proofErr w:type="spellEnd"/>
      <w:r>
        <w:t xml:space="preserve"> 28 </w:t>
      </w:r>
      <w:proofErr w:type="spellStart"/>
      <w:r>
        <w:t>сәуірдегі</w:t>
      </w:r>
      <w:proofErr w:type="spellEnd"/>
      <w:r>
        <w:t xml:space="preserve">  № 217</w:t>
      </w:r>
      <w:r>
        <w:rPr>
          <w:lang w:val="kk-KZ"/>
        </w:rPr>
        <w:t xml:space="preserve"> бұйрығымен бекітілген</w:t>
      </w:r>
      <w:r w:rsidR="006F5CDD">
        <w:rPr>
          <w:lang w:val="kk-KZ"/>
        </w:rPr>
        <w:t xml:space="preserve"> </w:t>
      </w:r>
      <w:r w:rsidR="006F5CDD">
        <w:t xml:space="preserve">( </w:t>
      </w:r>
      <w:proofErr w:type="spellStart"/>
      <w:r w:rsidR="006F5CDD">
        <w:t>нормативтік</w:t>
      </w:r>
      <w:proofErr w:type="spellEnd"/>
      <w:r w:rsidR="006F5CDD">
        <w:t xml:space="preserve"> </w:t>
      </w:r>
      <w:proofErr w:type="spellStart"/>
      <w:r w:rsidR="006F5CDD">
        <w:t>құқықтық</w:t>
      </w:r>
      <w:proofErr w:type="spellEnd"/>
      <w:r w:rsidR="006F5CDD">
        <w:t xml:space="preserve"> </w:t>
      </w:r>
      <w:proofErr w:type="spellStart"/>
      <w:r w:rsidR="006F5CDD">
        <w:t>актілерді</w:t>
      </w:r>
      <w:proofErr w:type="spellEnd"/>
      <w:r w:rsidR="006F5CDD">
        <w:t xml:space="preserve">  </w:t>
      </w:r>
      <w:proofErr w:type="spellStart"/>
      <w:r w:rsidR="006F5CDD">
        <w:t>мемлекеттік</w:t>
      </w:r>
      <w:proofErr w:type="spellEnd"/>
      <w:r w:rsidR="006F5CDD">
        <w:t xml:space="preserve"> </w:t>
      </w:r>
      <w:proofErr w:type="spellStart"/>
      <w:r w:rsidR="006F5CDD">
        <w:t>тіркеу</w:t>
      </w:r>
      <w:proofErr w:type="spellEnd"/>
      <w:r w:rsidR="006F5CDD">
        <w:t xml:space="preserve"> </w:t>
      </w:r>
      <w:proofErr w:type="spellStart"/>
      <w:r w:rsidR="006F5CDD">
        <w:t>Тізілімінде</w:t>
      </w:r>
      <w:proofErr w:type="spellEnd"/>
      <w:r w:rsidR="006F5CDD">
        <w:t xml:space="preserve">   № 15217</w:t>
      </w:r>
      <w:r w:rsidR="006F5CDD">
        <w:rPr>
          <w:lang w:val="kk-KZ"/>
        </w:rPr>
        <w:t xml:space="preserve"> нөмірмен тіркелген</w:t>
      </w:r>
      <w:r w:rsidR="006F5CDD">
        <w:t>)</w:t>
      </w:r>
      <w:r w:rsidR="006F5CDD">
        <w:rPr>
          <w:lang w:val="kk-KZ"/>
        </w:rPr>
        <w:t xml:space="preserve"> </w:t>
      </w:r>
      <w:r>
        <w:rPr>
          <w:lang w:val="kk-KZ"/>
        </w:rPr>
        <w:t xml:space="preserve"> «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Эпидемиялық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маңыздылығы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жоғары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объектінің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халықтың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санитариялық-эпидемиологиялық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саламаттылығы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саласындағы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нормативтік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құқықтық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актілерге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және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гигиеналық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нормативтерге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сәйкестігі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(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сәйкес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еместігі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)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туралы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санитариялық-эпидемиологиялық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02088B">
        <w:rPr>
          <w:rFonts w:eastAsia="Times New Roman"/>
          <w:kern w:val="36"/>
          <w:sz w:val="30"/>
          <w:szCs w:val="30"/>
          <w:lang w:eastAsia="ru-RU"/>
        </w:rPr>
        <w:t>қорытынды</w:t>
      </w:r>
      <w:proofErr w:type="spellEnd"/>
      <w:r w:rsidRPr="0002088B">
        <w:rPr>
          <w:rFonts w:eastAsia="Times New Roman"/>
          <w:kern w:val="36"/>
          <w:sz w:val="30"/>
          <w:szCs w:val="30"/>
          <w:lang w:eastAsia="ru-RU"/>
        </w:rPr>
        <w:t xml:space="preserve"> беру</w:t>
      </w:r>
      <w:r>
        <w:rPr>
          <w:rFonts w:eastAsia="Times New Roman"/>
          <w:kern w:val="36"/>
          <w:sz w:val="30"/>
          <w:szCs w:val="30"/>
          <w:lang w:val="kk-KZ" w:eastAsia="ru-RU"/>
        </w:rPr>
        <w:t xml:space="preserve">»  мемлекеттік қызмет Стандарттарының </w:t>
      </w:r>
      <w:r w:rsidR="006F5CDD">
        <w:rPr>
          <w:rFonts w:eastAsia="Times New Roman"/>
          <w:kern w:val="36"/>
          <w:sz w:val="30"/>
          <w:szCs w:val="30"/>
          <w:lang w:val="kk-KZ" w:eastAsia="ru-RU"/>
        </w:rPr>
        <w:t xml:space="preserve">1қосымшасына сәйкес, </w:t>
      </w:r>
      <w:r w:rsidR="00BB71DD">
        <w:rPr>
          <w:lang w:val="kk-KZ"/>
        </w:rPr>
        <w:t>мектепке дейінгі тәрбиелеу және оқытуды ұйымдастыру үшін пайдаланылатын жылжымайтын мүліктерге құқықбелгілеуші құжаттардың  көшірмелері ( жеке меншікті немесе жалға алынған)</w:t>
      </w:r>
      <w:r w:rsidR="00AE1325">
        <w:t>;</w:t>
      </w:r>
    </w:p>
    <w:p w:rsidR="00AE1325" w:rsidRPr="00BF2766" w:rsidRDefault="00AE1325" w:rsidP="00AE1325">
      <w:pPr>
        <w:rPr>
          <w:lang w:val="kk-KZ"/>
        </w:rPr>
      </w:pPr>
      <w:r w:rsidRPr="00BF2766">
        <w:rPr>
          <w:lang w:val="kk-KZ"/>
        </w:rPr>
        <w:t xml:space="preserve">      5) </w:t>
      </w:r>
      <w:r w:rsidR="006F5CDD" w:rsidRPr="00BF2766">
        <w:rPr>
          <w:lang w:val="kk-KZ"/>
        </w:rPr>
        <w:t xml:space="preserve"> медициналық кабинеттің болуы туралы лицензия</w:t>
      </w:r>
      <w:r w:rsidR="006F5CDD">
        <w:rPr>
          <w:lang w:val="kk-KZ"/>
        </w:rPr>
        <w:t xml:space="preserve"> немесе </w:t>
      </w:r>
      <w:r w:rsidR="006F5CDD" w:rsidRPr="00BF2766">
        <w:rPr>
          <w:lang w:val="kk-KZ"/>
        </w:rPr>
        <w:t xml:space="preserve"> </w:t>
      </w:r>
      <w:r w:rsidR="00BF2766" w:rsidRPr="00BF2766">
        <w:rPr>
          <w:lang w:val="kk-KZ"/>
        </w:rPr>
        <w:t xml:space="preserve"> кабинет  немесе </w:t>
      </w:r>
      <w:r w:rsidR="00BF2766">
        <w:rPr>
          <w:lang w:val="kk-KZ"/>
        </w:rPr>
        <w:t>бекіту орнын есепке ала отырып  емханада қызмет көрсетуге келісім көшірмесі</w:t>
      </w:r>
      <w:r w:rsidRPr="00BF2766">
        <w:rPr>
          <w:lang w:val="kk-KZ"/>
        </w:rPr>
        <w:t>;</w:t>
      </w:r>
    </w:p>
    <w:p w:rsidR="00AE1325" w:rsidRPr="00BF2766" w:rsidRDefault="00AE1325" w:rsidP="00AE1325">
      <w:pPr>
        <w:rPr>
          <w:lang w:val="kk-KZ"/>
        </w:rPr>
      </w:pPr>
      <w:r w:rsidRPr="00BF2766">
        <w:rPr>
          <w:lang w:val="kk-KZ"/>
        </w:rPr>
        <w:lastRenderedPageBreak/>
        <w:t xml:space="preserve">       6) </w:t>
      </w:r>
      <w:r w:rsidR="00BF2766">
        <w:rPr>
          <w:lang w:val="kk-KZ"/>
        </w:rPr>
        <w:t>жабдықтаушының балаларды тек  республикалық маңыздағы қала білім басқармасы, астана, қала (аудан) білім бөлімдерінің бағыты бойынша ғана мемлекеттік тапсырыс бойынша қабылдауға міндеттемесі,    тамақтану үшін ата-аналар төлемдерінің мөлшері белгіленген  заңға сәйкес Жабдықтаушымен осы ережелердің 2 қосымшас ына сәйкес ресімделеді</w:t>
      </w:r>
      <w:r w:rsidRPr="00BF2766">
        <w:rPr>
          <w:lang w:val="kk-KZ"/>
        </w:rPr>
        <w:t>;</w:t>
      </w:r>
    </w:p>
    <w:p w:rsidR="00AE1325" w:rsidRPr="00BF2766" w:rsidRDefault="00AE1325" w:rsidP="00AE1325">
      <w:pPr>
        <w:rPr>
          <w:lang w:val="kk-KZ"/>
        </w:rPr>
      </w:pPr>
      <w:r w:rsidRPr="00BF2766">
        <w:rPr>
          <w:lang w:val="kk-KZ"/>
        </w:rPr>
        <w:t xml:space="preserve">       7) </w:t>
      </w:r>
      <w:r w:rsidR="00BF2766" w:rsidRPr="00BF2766">
        <w:rPr>
          <w:lang w:val="kk-KZ"/>
        </w:rPr>
        <w:t xml:space="preserve">педагогикалық немесе кәсіптік білімді  </w:t>
      </w:r>
      <w:r w:rsidR="00BF2766">
        <w:rPr>
          <w:lang w:val="kk-KZ"/>
        </w:rPr>
        <w:t>тәрбиешілердің  білімі туралы құжаттарының мемлекеттік нысандағы құжаттарының көшірмелері</w:t>
      </w:r>
      <w:r w:rsidRPr="00BF2766">
        <w:rPr>
          <w:lang w:val="kk-KZ"/>
        </w:rPr>
        <w:t xml:space="preserve">. </w:t>
      </w:r>
    </w:p>
    <w:p w:rsidR="00AE1325" w:rsidRPr="00624813" w:rsidRDefault="00AE1325" w:rsidP="00AE1325">
      <w:pPr>
        <w:rPr>
          <w:lang w:val="kk-KZ"/>
        </w:rPr>
      </w:pPr>
      <w:r w:rsidRPr="00BF2766">
        <w:rPr>
          <w:lang w:val="kk-KZ"/>
        </w:rPr>
        <w:t xml:space="preserve">      </w:t>
      </w:r>
      <w:r w:rsidR="00BF2766" w:rsidRPr="00624813">
        <w:rPr>
          <w:lang w:val="kk-KZ"/>
        </w:rPr>
        <w:t>Конкурстық құжаттамаларға жатқызылатын құжаттар</w:t>
      </w:r>
      <w:r w:rsidRPr="00624813">
        <w:rPr>
          <w:lang w:val="kk-KZ"/>
        </w:rPr>
        <w:t xml:space="preserve"> </w:t>
      </w:r>
      <w:r w:rsidR="00BF2766">
        <w:rPr>
          <w:lang w:val="kk-KZ"/>
        </w:rPr>
        <w:t xml:space="preserve"> мектепке дейінгі ұйымның құрылтайшысымен  түптеледі, нөмірленеді, мөрмен расталады және  конкурс өткізу туралы хабарландыруда көрсетілген  тәртіпппен ұсынылады</w:t>
      </w:r>
      <w:r w:rsidRPr="00624813">
        <w:rPr>
          <w:lang w:val="kk-KZ"/>
        </w:rPr>
        <w:t>.</w:t>
      </w:r>
    </w:p>
    <w:p w:rsidR="00AE1325" w:rsidRPr="00624813" w:rsidRDefault="00624813" w:rsidP="00AE1325">
      <w:pPr>
        <w:rPr>
          <w:lang w:val="kk-KZ"/>
        </w:rPr>
      </w:pPr>
      <w:r>
        <w:rPr>
          <w:lang w:val="kk-KZ"/>
        </w:rPr>
        <w:t xml:space="preserve">Мектепке дейінгі білім беру ұйымдары меншік нысанына қарамай,  мектекпе дейінгі білім беру ұйымдары қызметінің Үлгілік ережелерімен бекітілген, Қазақстан </w:t>
      </w:r>
      <w:r w:rsidRPr="00624813">
        <w:rPr>
          <w:lang w:val="kk-KZ"/>
        </w:rPr>
        <w:t xml:space="preserve"> Республикасы Үкіметінің  2013 жылғы 17 мамырдағы  № 499</w:t>
      </w:r>
      <w:r>
        <w:rPr>
          <w:lang w:val="kk-KZ"/>
        </w:rPr>
        <w:t xml:space="preserve"> қаулысымен бекітілген мектепке дейінгі білім беру ұйымдары  қызметтерінің нормаларымен ережелерін сақтаған жағдайда, мектепке дейінгі тәрбиелеу және оқыту бойынша қызметтерді жеткізушілердің тізіміне енгізіледі</w:t>
      </w:r>
      <w:r w:rsidR="00AE1325" w:rsidRPr="00624813">
        <w:rPr>
          <w:lang w:val="kk-KZ"/>
        </w:rPr>
        <w:t>.</w:t>
      </w:r>
    </w:p>
    <w:p w:rsidR="00AE1325" w:rsidRDefault="00624813" w:rsidP="00AE1325"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01.11.2019ж.</w:t>
      </w:r>
      <w:r>
        <w:rPr>
          <w:lang w:val="kk-KZ"/>
        </w:rPr>
        <w:t>-</w:t>
      </w:r>
      <w:r>
        <w:t xml:space="preserve"> 31.12.2019ж</w:t>
      </w:r>
      <w:r w:rsidR="003237B5">
        <w:t>.</w:t>
      </w:r>
    </w:p>
    <w:p w:rsidR="00AE1325" w:rsidRDefault="00624813" w:rsidP="00AE1325">
      <w:proofErr w:type="spellStart"/>
      <w:proofErr w:type="gramStart"/>
      <w:r>
        <w:t>Конкурс</w:t>
      </w:r>
      <w:proofErr w:type="gramEnd"/>
      <w:r>
        <w:t>қа</w:t>
      </w:r>
      <w:proofErr w:type="spellEnd"/>
      <w:r>
        <w:t xml:space="preserve"> </w:t>
      </w:r>
      <w:r>
        <w:rPr>
          <w:lang w:val="kk-KZ"/>
        </w:rPr>
        <w:t>тапсырыс берішінің талаптарына сәйкесетін барлық әлеуетті жабдықтаушылар  жіберіледі.</w:t>
      </w:r>
    </w:p>
    <w:p w:rsidR="00AE1325" w:rsidRDefault="00624813" w:rsidP="00AE1325">
      <w:r>
        <w:t xml:space="preserve">Документы на участие в </w:t>
      </w:r>
      <w:proofErr w:type="spellStart"/>
      <w:proofErr w:type="gramStart"/>
      <w:r>
        <w:t>конкурс</w:t>
      </w:r>
      <w:proofErr w:type="gramEnd"/>
      <w:r>
        <w:t>қа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r w:rsidR="00865ADA">
        <w:t xml:space="preserve"> </w:t>
      </w:r>
      <w:r>
        <w:rPr>
          <w:lang w:val="kk-KZ"/>
        </w:rPr>
        <w:t xml:space="preserve">әлеуетті жабдықтаушылар </w:t>
      </w:r>
      <w:r>
        <w:t>«</w:t>
      </w:r>
      <w:r>
        <w:rPr>
          <w:lang w:val="kk-KZ"/>
        </w:rPr>
        <w:t xml:space="preserve">Атбасар ауданының білім бөлімі» мемлекеттік мекемесіне: </w:t>
      </w:r>
      <w:r>
        <w:t>020400,  Атбасар</w:t>
      </w:r>
      <w:r>
        <w:rPr>
          <w:lang w:val="kk-KZ"/>
        </w:rPr>
        <w:t xml:space="preserve"> қ</w:t>
      </w:r>
      <w:r>
        <w:t xml:space="preserve">, ул. Сейфулин </w:t>
      </w:r>
      <w:r>
        <w:rPr>
          <w:lang w:val="kk-KZ"/>
        </w:rPr>
        <w:t xml:space="preserve">к., </w:t>
      </w:r>
      <w:r>
        <w:t>3</w:t>
      </w:r>
      <w:r>
        <w:rPr>
          <w:lang w:val="kk-KZ"/>
        </w:rPr>
        <w:t xml:space="preserve">үй, 103 </w:t>
      </w:r>
      <w:r>
        <w:t xml:space="preserve"> кабинет </w:t>
      </w:r>
      <w:proofErr w:type="spellStart"/>
      <w:r>
        <w:t>ме</w:t>
      </w:r>
      <w:proofErr w:type="spellEnd"/>
      <w:r>
        <w:rPr>
          <w:lang w:val="kk-KZ"/>
        </w:rPr>
        <w:t xml:space="preserve">кен-жайына, 2019 жылғы  16 қазан күні  сағат  </w:t>
      </w:r>
      <w:r>
        <w:t xml:space="preserve">11 </w:t>
      </w:r>
      <w:r>
        <w:rPr>
          <w:lang w:val="kk-KZ"/>
        </w:rPr>
        <w:t xml:space="preserve"> жіберіледі (жолданады)</w:t>
      </w:r>
      <w:r w:rsidR="00AE1325">
        <w:t>.</w:t>
      </w:r>
    </w:p>
    <w:p w:rsidR="00AE1325" w:rsidRDefault="00624813" w:rsidP="00AE1325">
      <w:proofErr w:type="spellStart"/>
      <w:r>
        <w:t>Конкурсқа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rPr>
          <w:lang w:val="kk-KZ"/>
        </w:rPr>
        <w:t>ға берілген құжаттар 5 жұмыс күні ішінде қарастырылатын болады</w:t>
      </w:r>
      <w:r w:rsidR="00865ADA">
        <w:t>.</w:t>
      </w:r>
    </w:p>
    <w:p w:rsidR="00AE1325" w:rsidRPr="00624813" w:rsidRDefault="00624813" w:rsidP="00AE1325">
      <w:pPr>
        <w:rPr>
          <w:lang w:val="kk-KZ"/>
        </w:rPr>
      </w:pPr>
      <w:proofErr w:type="spellStart"/>
      <w:r>
        <w:t>Қ</w:t>
      </w:r>
      <w:proofErr w:type="gramStart"/>
      <w:r>
        <w:t>осымша</w:t>
      </w:r>
      <w:proofErr w:type="spellEnd"/>
      <w:proofErr w:type="gramEnd"/>
      <w:r>
        <w:t xml:space="preserve"> </w:t>
      </w:r>
      <w:proofErr w:type="spellStart"/>
      <w:r>
        <w:t>ақпаратты</w:t>
      </w:r>
      <w:proofErr w:type="spellEnd"/>
      <w:r w:rsidR="00AE1325">
        <w:t>: 87164324</w:t>
      </w:r>
      <w:r w:rsidR="009C04BF">
        <w:t>431</w:t>
      </w:r>
      <w:r>
        <w:t xml:space="preserve"> телефоны</w:t>
      </w:r>
      <w:r>
        <w:rPr>
          <w:lang w:val="kk-KZ"/>
        </w:rPr>
        <w:t xml:space="preserve"> бойынша </w:t>
      </w:r>
      <w:r w:rsidR="00AE1325">
        <w:t xml:space="preserve"> </w:t>
      </w:r>
      <w:proofErr w:type="spellStart"/>
      <w:r>
        <w:t>Кусаинова</w:t>
      </w:r>
      <w:proofErr w:type="spellEnd"/>
      <w:r>
        <w:t xml:space="preserve"> </w:t>
      </w:r>
      <w:proofErr w:type="spellStart"/>
      <w:r w:rsidR="007549E3">
        <w:t>СерикШариповна</w:t>
      </w:r>
      <w:proofErr w:type="spellEnd"/>
      <w:r>
        <w:rPr>
          <w:lang w:val="kk-KZ"/>
        </w:rPr>
        <w:t xml:space="preserve">дан алуға болады. </w:t>
      </w:r>
    </w:p>
    <w:p w:rsidR="009C04BF" w:rsidRDefault="009C04BF" w:rsidP="00AE1325"/>
    <w:p w:rsidR="009C04BF" w:rsidRDefault="00624813" w:rsidP="00AE1325">
      <w:r>
        <w:t xml:space="preserve">«Атбасар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>»</w:t>
      </w:r>
      <w:r>
        <w:rPr>
          <w:lang w:val="kk-KZ"/>
        </w:rPr>
        <w:t xml:space="preserve"> ММ басшысы </w:t>
      </w:r>
      <w:r w:rsidR="009C04BF">
        <w:t xml:space="preserve">       </w:t>
      </w:r>
      <w:proofErr w:type="spellStart"/>
      <w:r w:rsidR="009C04BF">
        <w:t>Н.Наймушина</w:t>
      </w:r>
      <w:proofErr w:type="spellEnd"/>
    </w:p>
    <w:p w:rsidR="00667E75" w:rsidRDefault="00667E75" w:rsidP="00AE1325"/>
    <w:p w:rsidR="00667E75" w:rsidRDefault="00667E75" w:rsidP="00AE1325"/>
    <w:p w:rsidR="00667E75" w:rsidRDefault="00667E75" w:rsidP="00AE1325"/>
    <w:p w:rsidR="00D436FD" w:rsidRDefault="00D436FD" w:rsidP="00AE1325"/>
    <w:p w:rsidR="00D436FD" w:rsidRDefault="00D436FD" w:rsidP="00AE1325"/>
    <w:p w:rsidR="00667E75" w:rsidRDefault="00667E75" w:rsidP="00667E75">
      <w:pPr>
        <w:jc w:val="center"/>
      </w:pPr>
      <w:r>
        <w:lastRenderedPageBreak/>
        <w:t>Объявление о конкурсе</w:t>
      </w:r>
    </w:p>
    <w:p w:rsidR="00667E75" w:rsidRDefault="00667E75" w:rsidP="00667E75">
      <w:r>
        <w:t xml:space="preserve">Организатор конкурса (заказчик): Государственное учреждение «Отдел образования Атбасарского района», Акмолинская область, 020400, город Атбасар, ул. Сейфулина д .3., БИН 0601400000456, ИИК KZ640705034640307001, БИК KKMFKZ2A, РГУ «Комитет Казначейства Министерства Финансов Республики </w:t>
      </w:r>
      <w:proofErr w:type="spellStart"/>
      <w:r>
        <w:t>Казахстан»,тел</w:t>
      </w:r>
      <w:proofErr w:type="spellEnd"/>
      <w:r>
        <w:t xml:space="preserve">. 8 (71643) 2-42-72 факс,2-40-09 электронный адрес: atbroogz@mail.ru, сайт: www.atbasar.akmoedu.kz объявляет конкурс по выбору поставщика на оказания услуг государственного заказа по дошкольному воспитанию и обучения </w:t>
      </w:r>
      <w:proofErr w:type="spellStart"/>
      <w:r>
        <w:t>г.Атбасар</w:t>
      </w:r>
      <w:proofErr w:type="spellEnd"/>
      <w:r>
        <w:t>.</w:t>
      </w:r>
    </w:p>
    <w:p w:rsidR="00667E75" w:rsidRDefault="00667E75" w:rsidP="00667E75">
      <w:r w:rsidRPr="00AE1325"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tbl>
      <w:tblPr>
        <w:tblW w:w="11132" w:type="dxa"/>
        <w:tblInd w:w="-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518"/>
        <w:gridCol w:w="1503"/>
        <w:gridCol w:w="1727"/>
        <w:gridCol w:w="1268"/>
        <w:gridCol w:w="2529"/>
        <w:gridCol w:w="1276"/>
      </w:tblGrid>
      <w:tr w:rsidR="00667E75" w:rsidRPr="003237B5" w:rsidTr="004A300B">
        <w:trPr>
          <w:trHeight w:val="128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№</w:t>
            </w:r>
          </w:p>
        </w:tc>
        <w:tc>
          <w:tcPr>
            <w:tcW w:w="2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Наименование организатора конкурса</w:t>
            </w:r>
          </w:p>
        </w:tc>
        <w:tc>
          <w:tcPr>
            <w:tcW w:w="11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 xml:space="preserve">количество </w:t>
            </w: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детейпосещающих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дошкольную организацию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b/>
                <w:sz w:val="16"/>
                <w:szCs w:val="18"/>
                <w:lang w:eastAsia="ru-RU"/>
              </w:rPr>
              <w:t>Подушевое</w:t>
            </w:r>
            <w:proofErr w:type="spellEnd"/>
            <w:r>
              <w:rPr>
                <w:rFonts w:eastAsia="Calibri"/>
                <w:b/>
                <w:sz w:val="16"/>
                <w:szCs w:val="18"/>
                <w:lang w:eastAsia="ru-RU"/>
              </w:rPr>
              <w:t xml:space="preserve"> финансирование заказчиком государственного заказа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Сроки оказания услуги</w:t>
            </w:r>
          </w:p>
        </w:tc>
        <w:tc>
          <w:tcPr>
            <w:tcW w:w="2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Место оказания услуги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Сумма, выделенная за счет бюджетных средств, тенге</w:t>
            </w:r>
          </w:p>
        </w:tc>
      </w:tr>
      <w:tr w:rsidR="00667E75" w:rsidRPr="003237B5" w:rsidTr="004A300B">
        <w:trPr>
          <w:trHeight w:val="24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7E75" w:rsidRPr="003237B5" w:rsidRDefault="00667E75" w:rsidP="004A300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8"/>
                <w:lang w:eastAsia="ru-RU"/>
              </w:rPr>
            </w:pPr>
            <w:r w:rsidRPr="003237B5">
              <w:rPr>
                <w:rFonts w:eastAsia="Calibri"/>
                <w:b/>
                <w:sz w:val="16"/>
                <w:szCs w:val="18"/>
                <w:lang w:eastAsia="ru-RU"/>
              </w:rPr>
              <w:t>7</w:t>
            </w:r>
          </w:p>
        </w:tc>
      </w:tr>
      <w:tr w:rsidR="00667E75" w:rsidRPr="003237B5" w:rsidTr="004A300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7E75" w:rsidRPr="003237B5" w:rsidRDefault="00667E75" w:rsidP="004A300B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 w:rsidRPr="003237B5"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7E75" w:rsidRPr="003237B5" w:rsidRDefault="00667E75" w:rsidP="004A300B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 w:rsidRPr="003237B5"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  <w:t>ГУ «Отдел образования Атбасарского района»</w:t>
            </w:r>
          </w:p>
        </w:tc>
        <w:tc>
          <w:tcPr>
            <w:tcW w:w="11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7E75" w:rsidRPr="003237B5" w:rsidRDefault="00667E75" w:rsidP="004A300B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  <w:t>20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7E75" w:rsidRPr="003237B5" w:rsidRDefault="00667E75" w:rsidP="004A300B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  <w:t>21591-00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7E75" w:rsidRPr="003237B5" w:rsidRDefault="00667E75" w:rsidP="004A300B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>
              <w:rPr>
                <w:rFonts w:eastAsia="Calibri"/>
                <w:sz w:val="16"/>
                <w:szCs w:val="18"/>
                <w:lang w:val="kk-KZ"/>
              </w:rPr>
              <w:t>1.11</w:t>
            </w:r>
            <w:r w:rsidRPr="003237B5">
              <w:rPr>
                <w:rFonts w:eastAsia="Calibri"/>
                <w:sz w:val="16"/>
                <w:szCs w:val="18"/>
              </w:rPr>
              <w:t xml:space="preserve">.2019г. по </w:t>
            </w:r>
            <w:r>
              <w:rPr>
                <w:rFonts w:eastAsia="Calibri"/>
                <w:sz w:val="16"/>
                <w:szCs w:val="18"/>
              </w:rPr>
              <w:t>31.12</w:t>
            </w:r>
            <w:r w:rsidRPr="003237B5">
              <w:rPr>
                <w:rFonts w:eastAsia="Calibri"/>
                <w:sz w:val="16"/>
                <w:szCs w:val="18"/>
              </w:rPr>
              <w:t>.2019г</w:t>
            </w:r>
          </w:p>
        </w:tc>
        <w:tc>
          <w:tcPr>
            <w:tcW w:w="2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7E75" w:rsidRPr="003237B5" w:rsidRDefault="00667E75" w:rsidP="004A300B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sz w:val="16"/>
                <w:szCs w:val="18"/>
              </w:rPr>
              <w:t>г.Атбасар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7E75" w:rsidRPr="003237B5" w:rsidRDefault="00667E75" w:rsidP="004A300B">
            <w:pPr>
              <w:spacing w:after="0" w:line="240" w:lineRule="auto"/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pacing w:val="2"/>
                <w:sz w:val="16"/>
                <w:szCs w:val="18"/>
                <w:lang w:eastAsia="ru-RU"/>
              </w:rPr>
              <w:t>862640-00</w:t>
            </w:r>
          </w:p>
        </w:tc>
      </w:tr>
    </w:tbl>
    <w:p w:rsidR="00667E75" w:rsidRDefault="00667E75" w:rsidP="00667E75"/>
    <w:p w:rsidR="00667E75" w:rsidRDefault="00667E75" w:rsidP="00667E75">
      <w:r>
        <w:t>Для участия в конкурсе частные дошкольные организации предоставляют следующие документы:</w:t>
      </w:r>
    </w:p>
    <w:p w:rsidR="00667E75" w:rsidRDefault="00667E75" w:rsidP="00667E75">
      <w:r>
        <w:t xml:space="preserve">      1) заявление на имя председателя комиссии по форме согласно приложению 1 к настоящим Правилам;</w:t>
      </w:r>
    </w:p>
    <w:p w:rsidR="00667E75" w:rsidRDefault="00667E75" w:rsidP="00667E75">
      <w:r>
        <w:t xml:space="preserve">      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667E75" w:rsidRDefault="00667E75" w:rsidP="00667E75">
      <w:r>
        <w:t xml:space="preserve">      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667E75" w:rsidRDefault="00667E75" w:rsidP="00667E75">
      <w:r>
        <w:t xml:space="preserve"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</w:t>
      </w:r>
      <w:proofErr w:type="spellStart"/>
      <w:r>
        <w:t>и.о</w:t>
      </w:r>
      <w:proofErr w:type="spellEnd"/>
      <w:r>
        <w:t>. Министра здравоохранения Республики Казахстан от 28 апреля 2017 года № 217 "Об утверждении стандартов государственных услуг в сфере санитарно-</w:t>
      </w:r>
      <w:r>
        <w:lastRenderedPageBreak/>
        <w:t>эпидемиологического благополучия населения" (зарегистрирован в Реестре государственной регистрации нормативных правовых актов под  № 15217);</w:t>
      </w:r>
    </w:p>
    <w:p w:rsidR="00667E75" w:rsidRDefault="00667E75" w:rsidP="00667E75">
      <w:r>
        <w:t xml:space="preserve">      5) копию о наличии лицензии на медицинский кабинет или договор на обслуживание с поликлиникой с учетом места закрепления;</w:t>
      </w:r>
    </w:p>
    <w:p w:rsidR="00667E75" w:rsidRDefault="00667E75" w:rsidP="00667E75">
      <w:r>
        <w:t xml:space="preserve">       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667E75" w:rsidRDefault="00667E75" w:rsidP="00667E75">
      <w:r>
        <w:t xml:space="preserve">       7) копии документов воспитателей об образовании государственного образца с педагогическим или профессиональным образованием. </w:t>
      </w:r>
    </w:p>
    <w:p w:rsidR="00667E75" w:rsidRDefault="00667E75" w:rsidP="00667E75">
      <w:r>
        <w:t xml:space="preserve">      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667E75" w:rsidRDefault="00667E75" w:rsidP="00667E75">
      <w:r w:rsidRPr="00AE1325">
        <w:t>Организации дошкольного образования независимо от формы собственности включаются в перечень поставщиков услуг по дошкольному воспитанию и обучению для размещения в них государственного образовательного заказа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от 17 мая 2013 года № 499.</w:t>
      </w:r>
    </w:p>
    <w:p w:rsidR="00667E75" w:rsidRDefault="00667E75" w:rsidP="00667E75">
      <w:r>
        <w:t>Срок оказания услуги  c 01.11.2019г. по 31.12.2019г.</w:t>
      </w:r>
    </w:p>
    <w:p w:rsidR="00667E75" w:rsidRDefault="00667E75" w:rsidP="00667E75">
      <w:r>
        <w:t xml:space="preserve">К конкурсу допускаются все потенциальные поставщики, отвечающие </w:t>
      </w:r>
      <w:proofErr w:type="spellStart"/>
      <w:r>
        <w:t>требованиямзаказчика</w:t>
      </w:r>
      <w:proofErr w:type="spellEnd"/>
      <w:r>
        <w:t>.</w:t>
      </w:r>
    </w:p>
    <w:p w:rsidR="00667E75" w:rsidRDefault="00667E75" w:rsidP="00667E75">
      <w:r>
        <w:t>Документы на участие в конкурсе представляются (направляются) потенциальными поставщиками в ГУ «Отдел образования Атбасарского района»,  по адресу: 020400, город Атбасар, ул. Сейфулина д .3 кабинет 103, в  срок до 11 часов 00 мин.«16» октября 2019 года.</w:t>
      </w:r>
    </w:p>
    <w:p w:rsidR="00667E75" w:rsidRDefault="00667E75" w:rsidP="00667E75">
      <w:r>
        <w:t>Документы на участие в конкурсе будут рассмотрены в течение 5 рабочих дней.</w:t>
      </w:r>
    </w:p>
    <w:p w:rsidR="00667E75" w:rsidRDefault="00667E75" w:rsidP="00667E75">
      <w:r>
        <w:t xml:space="preserve">Дополнительную информацию и справку можно получить по телефону: 87164324431 у </w:t>
      </w:r>
      <w:proofErr w:type="spellStart"/>
      <w:r>
        <w:t>КусаиновойСерикШариповна</w:t>
      </w:r>
      <w:proofErr w:type="spellEnd"/>
    </w:p>
    <w:p w:rsidR="00667E75" w:rsidRDefault="00667E75" w:rsidP="00667E75"/>
    <w:p w:rsidR="00667E75" w:rsidRDefault="00667E75" w:rsidP="00667E75">
      <w:r>
        <w:t xml:space="preserve">Руководитель ГУ «Отдел образования </w:t>
      </w:r>
      <w:proofErr w:type="spellStart"/>
      <w:r>
        <w:t>Атбасарского</w:t>
      </w:r>
      <w:proofErr w:type="spellEnd"/>
      <w:r>
        <w:t xml:space="preserve"> района»       </w:t>
      </w:r>
      <w:proofErr w:type="spellStart"/>
      <w:r>
        <w:t>Н.Наймушина</w:t>
      </w:r>
      <w:proofErr w:type="spellEnd"/>
    </w:p>
    <w:p w:rsidR="00667E75" w:rsidRDefault="00667E75" w:rsidP="00AE1325"/>
    <w:sectPr w:rsidR="00667E75" w:rsidSect="008538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75"/>
    <w:rsid w:val="0002088B"/>
    <w:rsid w:val="000B3A80"/>
    <w:rsid w:val="00297475"/>
    <w:rsid w:val="003237B5"/>
    <w:rsid w:val="00624813"/>
    <w:rsid w:val="00667E75"/>
    <w:rsid w:val="006F5CDD"/>
    <w:rsid w:val="007549E3"/>
    <w:rsid w:val="0077478D"/>
    <w:rsid w:val="0085380E"/>
    <w:rsid w:val="00865ADA"/>
    <w:rsid w:val="008660CE"/>
    <w:rsid w:val="009C04BF"/>
    <w:rsid w:val="00AE1325"/>
    <w:rsid w:val="00BB71DD"/>
    <w:rsid w:val="00BF2766"/>
    <w:rsid w:val="00C14BF3"/>
    <w:rsid w:val="00D436FD"/>
    <w:rsid w:val="00F04467"/>
    <w:rsid w:val="00F11C7C"/>
    <w:rsid w:val="00F9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paragraph" w:styleId="1">
    <w:name w:val="heading 1"/>
    <w:basedOn w:val="a"/>
    <w:link w:val="10"/>
    <w:uiPriority w:val="9"/>
    <w:qFormat/>
    <w:rsid w:val="0002088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E7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2088B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2088B"/>
    <w:rPr>
      <w:color w:val="0000FF"/>
      <w:u w:val="single"/>
    </w:rPr>
  </w:style>
  <w:style w:type="character" w:customStyle="1" w:styleId="type-label">
    <w:name w:val="type-label"/>
    <w:basedOn w:val="a0"/>
    <w:rsid w:val="0002088B"/>
  </w:style>
  <w:style w:type="character" w:customStyle="1" w:styleId="printable-version">
    <w:name w:val="printable-version"/>
    <w:basedOn w:val="a0"/>
    <w:rsid w:val="00020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paragraph" w:styleId="1">
    <w:name w:val="heading 1"/>
    <w:basedOn w:val="a"/>
    <w:link w:val="10"/>
    <w:uiPriority w:val="9"/>
    <w:qFormat/>
    <w:rsid w:val="0002088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E7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2088B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2088B"/>
    <w:rPr>
      <w:color w:val="0000FF"/>
      <w:u w:val="single"/>
    </w:rPr>
  </w:style>
  <w:style w:type="character" w:customStyle="1" w:styleId="type-label">
    <w:name w:val="type-label"/>
    <w:basedOn w:val="a0"/>
    <w:rsid w:val="0002088B"/>
  </w:style>
  <w:style w:type="character" w:customStyle="1" w:styleId="printable-version">
    <w:name w:val="printable-version"/>
    <w:basedOn w:val="a0"/>
    <w:rsid w:val="0002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UserXM160318</cp:lastModifiedBy>
  <cp:revision>2</cp:revision>
  <cp:lastPrinted>2019-09-30T08:55:00Z</cp:lastPrinted>
  <dcterms:created xsi:type="dcterms:W3CDTF">2019-10-01T15:03:00Z</dcterms:created>
  <dcterms:modified xsi:type="dcterms:W3CDTF">2019-10-01T15:03:00Z</dcterms:modified>
</cp:coreProperties>
</file>